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FA1" w:rsidRDefault="007A6FA1" w:rsidP="00A2109A">
      <w:pPr>
        <w:pStyle w:val="AralkYok"/>
        <w:rPr>
          <w:sz w:val="20"/>
          <w:szCs w:val="20"/>
        </w:rPr>
      </w:pPr>
    </w:p>
    <w:p w:rsidR="007A6FA1" w:rsidRPr="00AA576B" w:rsidRDefault="00B84081" w:rsidP="007A6FA1">
      <w:pPr>
        <w:pStyle w:val="AralkYok"/>
        <w:jc w:val="center"/>
        <w:rPr>
          <w:b/>
        </w:rPr>
      </w:pPr>
      <w:hyperlink r:id="rId6" w:history="1">
        <w:r w:rsidRPr="007D5CDF">
          <w:rPr>
            <w:rStyle w:val="Kpr"/>
            <w:b/>
          </w:rPr>
          <w:t>2. SINIF MATEMATİK DERSİ DERS PLANI</w:t>
        </w:r>
      </w:hyperlink>
    </w:p>
    <w:p w:rsidR="007A6FA1" w:rsidRPr="00FF1DD2" w:rsidRDefault="00B84081" w:rsidP="007A6FA1">
      <w:pPr>
        <w:pStyle w:val="AralkYok"/>
        <w:jc w:val="center"/>
        <w:rPr>
          <w:b/>
          <w:color w:val="FF0000"/>
        </w:rPr>
      </w:pPr>
      <w:r>
        <w:rPr>
          <w:b/>
          <w:color w:val="FF0000"/>
        </w:rPr>
        <w:t>15</w:t>
      </w:r>
      <w:r w:rsidRPr="00FF1DD2">
        <w:rPr>
          <w:b/>
          <w:color w:val="FF0000"/>
        </w:rPr>
        <w:t xml:space="preserve">.Hafta </w:t>
      </w:r>
    </w:p>
    <w:p w:rsidR="007A6FA1" w:rsidRPr="00AA576B" w:rsidRDefault="00B84081" w:rsidP="007A6FA1">
      <w:pPr>
        <w:pStyle w:val="AralkYok"/>
        <w:jc w:val="center"/>
        <w:rPr>
          <w:b/>
        </w:rPr>
      </w:pPr>
      <w:r>
        <w:rPr>
          <w:b/>
        </w:rPr>
        <w:t>(22-26 ARALIK 2025</w:t>
      </w:r>
      <w:r w:rsidRPr="00AA576B">
        <w:rPr>
          <w:b/>
        </w:rPr>
        <w:t>)</w:t>
      </w:r>
    </w:p>
    <w:p w:rsidR="007A6FA1" w:rsidRDefault="007A6FA1" w:rsidP="007A6FA1">
      <w:pPr>
        <w:pStyle w:val="AralkYok"/>
        <w:jc w:val="center"/>
      </w:pPr>
    </w:p>
    <w:tbl>
      <w:tblPr>
        <w:tblStyle w:val="TabloKlavuzu"/>
        <w:tblW w:w="0" w:type="auto"/>
        <w:jc w:val="center"/>
        <w:tblLook w:val="04A0" w:firstRow="1" w:lastRow="0" w:firstColumn="1" w:lastColumn="0" w:noHBand="0" w:noVBand="1"/>
      </w:tblPr>
      <w:tblGrid>
        <w:gridCol w:w="2547"/>
        <w:gridCol w:w="8084"/>
      </w:tblGrid>
      <w:tr w:rsidR="000B0AF5" w:rsidTr="00BE0CFF">
        <w:trPr>
          <w:jc w:val="center"/>
        </w:trPr>
        <w:tc>
          <w:tcPr>
            <w:tcW w:w="2547" w:type="dxa"/>
            <w:vAlign w:val="center"/>
          </w:tcPr>
          <w:p w:rsidR="007A6FA1" w:rsidRPr="00BE0CFF" w:rsidRDefault="00B84081" w:rsidP="00BE0CFF">
            <w:pPr>
              <w:pStyle w:val="AralkYok"/>
              <w:rPr>
                <w:sz w:val="18"/>
                <w:szCs w:val="18"/>
              </w:rPr>
            </w:pPr>
            <w:r w:rsidRPr="00BE0CFF">
              <w:rPr>
                <w:rFonts w:ascii="Tahoma" w:hAnsi="Tahoma" w:cs="Tahoma"/>
                <w:b/>
                <w:sz w:val="18"/>
                <w:szCs w:val="18"/>
                <w14:ligatures w14:val="standardContextual"/>
              </w:rPr>
              <w:t>DERS SAATİ</w:t>
            </w:r>
          </w:p>
        </w:tc>
        <w:tc>
          <w:tcPr>
            <w:tcW w:w="8084" w:type="dxa"/>
            <w:vAlign w:val="center"/>
          </w:tcPr>
          <w:p w:rsidR="007A6FA1" w:rsidRPr="00BE0CFF" w:rsidRDefault="00B84081" w:rsidP="00BE0CFF">
            <w:pPr>
              <w:pStyle w:val="AralkYok"/>
              <w:rPr>
                <w:sz w:val="18"/>
                <w:szCs w:val="18"/>
              </w:rPr>
            </w:pPr>
            <w:r w:rsidRPr="00BE0CFF">
              <w:rPr>
                <w:rFonts w:ascii="Tahoma" w:hAnsi="Tahoma" w:cs="Tahoma"/>
                <w:sz w:val="18"/>
                <w:szCs w:val="18"/>
                <w14:ligatures w14:val="standardContextual"/>
              </w:rPr>
              <w:t xml:space="preserve"> 5  Ders saati</w:t>
            </w:r>
          </w:p>
        </w:tc>
      </w:tr>
      <w:tr w:rsidR="000B0AF5" w:rsidTr="00BE0CFF">
        <w:trPr>
          <w:jc w:val="center"/>
        </w:trPr>
        <w:tc>
          <w:tcPr>
            <w:tcW w:w="2547" w:type="dxa"/>
            <w:vAlign w:val="center"/>
          </w:tcPr>
          <w:p w:rsidR="007A6FA1" w:rsidRPr="00BE0CFF" w:rsidRDefault="00B84081" w:rsidP="00BE0CFF">
            <w:pPr>
              <w:pStyle w:val="AralkYok"/>
              <w:rPr>
                <w:sz w:val="18"/>
                <w:szCs w:val="18"/>
              </w:rPr>
            </w:pPr>
            <w:r w:rsidRPr="00BE0CFF">
              <w:rPr>
                <w:rFonts w:ascii="Tahoma" w:hAnsi="Tahoma" w:cs="Tahoma"/>
                <w:b/>
                <w:sz w:val="18"/>
                <w:szCs w:val="18"/>
                <w14:ligatures w14:val="standardContextual"/>
              </w:rPr>
              <w:t>TEMA</w:t>
            </w:r>
          </w:p>
        </w:tc>
        <w:tc>
          <w:tcPr>
            <w:tcW w:w="8084" w:type="dxa"/>
            <w:vAlign w:val="center"/>
          </w:tcPr>
          <w:p w:rsidR="007A6FA1" w:rsidRPr="00BE0CFF" w:rsidRDefault="00B84081"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İŞLEMLERDEN CEBİRSEL DÜŞÜNMEYE</w:t>
            </w:r>
          </w:p>
        </w:tc>
      </w:tr>
      <w:tr w:rsidR="000B0AF5" w:rsidTr="00BE0CFF">
        <w:trPr>
          <w:jc w:val="center"/>
        </w:trPr>
        <w:tc>
          <w:tcPr>
            <w:tcW w:w="2547" w:type="dxa"/>
            <w:vAlign w:val="center"/>
          </w:tcPr>
          <w:p w:rsidR="007A6FA1" w:rsidRPr="00BE0CFF" w:rsidRDefault="00B84081" w:rsidP="00BE0CFF">
            <w:pPr>
              <w:pStyle w:val="AralkYok"/>
              <w:rPr>
                <w:sz w:val="18"/>
                <w:szCs w:val="18"/>
              </w:rPr>
            </w:pPr>
            <w:r w:rsidRPr="00BE0CFF">
              <w:rPr>
                <w:rFonts w:ascii="Tahoma" w:hAnsi="Tahoma" w:cs="Tahoma"/>
                <w:b/>
                <w:sz w:val="18"/>
                <w:szCs w:val="18"/>
                <w14:ligatures w14:val="standardContextual"/>
              </w:rPr>
              <w:t>İÇERİK ÇERÇEVESİ</w:t>
            </w:r>
          </w:p>
        </w:tc>
        <w:tc>
          <w:tcPr>
            <w:tcW w:w="8084" w:type="dxa"/>
            <w:vAlign w:val="center"/>
          </w:tcPr>
          <w:p w:rsidR="007A6FA1" w:rsidRPr="00BE0CFF" w:rsidRDefault="00B84081" w:rsidP="00BE0CFF">
            <w:pPr>
              <w:pStyle w:val="AralkYok"/>
              <w:rPr>
                <w:rFonts w:ascii="Tahoma" w:hAnsi="Tahoma" w:cs="Tahoma"/>
                <w:b/>
                <w:sz w:val="18"/>
                <w:szCs w:val="18"/>
                <w14:ligatures w14:val="standardContextual"/>
              </w:rPr>
            </w:pPr>
            <w:r w:rsidRPr="00BE0CFF">
              <w:rPr>
                <w:rFonts w:ascii="Barlow-Light" w:hAnsi="Barlow-Light" w:cs="Barlow-Light"/>
                <w:b/>
                <w:sz w:val="18"/>
                <w:szCs w:val="18"/>
                <w14:ligatures w14:val="standardContextual"/>
              </w:rPr>
              <w:t>Toplama ve Çıkarma İşlemi, Çarpma ve Bölme İşlemi, Eşitlik</w:t>
            </w:r>
          </w:p>
        </w:tc>
      </w:tr>
      <w:tr w:rsidR="000B0AF5" w:rsidTr="00BE0CFF">
        <w:trPr>
          <w:jc w:val="center"/>
        </w:trPr>
        <w:tc>
          <w:tcPr>
            <w:tcW w:w="2547" w:type="dxa"/>
            <w:vAlign w:val="center"/>
          </w:tcPr>
          <w:p w:rsidR="007A6FA1" w:rsidRPr="00BE0CFF" w:rsidRDefault="00B84081"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ÖĞRENME ÇIKTILARI</w:t>
            </w:r>
          </w:p>
          <w:p w:rsidR="007A6FA1" w:rsidRPr="00BE0CFF" w:rsidRDefault="00B84081" w:rsidP="00BE0CFF">
            <w:pPr>
              <w:pStyle w:val="AralkYok"/>
              <w:rPr>
                <w:sz w:val="18"/>
                <w:szCs w:val="18"/>
              </w:rPr>
            </w:pPr>
            <w:r w:rsidRPr="00BE0CFF">
              <w:rPr>
                <w:rFonts w:ascii="Tahoma" w:hAnsi="Tahoma" w:cs="Tahoma"/>
                <w:b/>
                <w:sz w:val="18"/>
                <w:szCs w:val="18"/>
                <w14:ligatures w14:val="standardContextual"/>
              </w:rPr>
              <w:t>VE SÜREÇ BİLEŞENLERİ</w:t>
            </w:r>
          </w:p>
        </w:tc>
        <w:tc>
          <w:tcPr>
            <w:tcW w:w="8084" w:type="dxa"/>
            <w:vAlign w:val="center"/>
          </w:tcPr>
          <w:p w:rsidR="007A6FA1" w:rsidRPr="00BE0CFF" w:rsidRDefault="00B84081"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MAT.2.2.1. Toplama ve çıkarma işlemleri gerektiren günlük yaşam problemlerini çözebilme (5 saat)</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a) Problemi anlayarak verilen ve </w:t>
            </w:r>
            <w:r w:rsidRPr="00BE0CFF">
              <w:rPr>
                <w:rFonts w:ascii="Tahoma" w:hAnsi="Tahoma" w:cs="Tahoma"/>
                <w:sz w:val="18"/>
                <w:szCs w:val="18"/>
                <w14:ligatures w14:val="standardContextual"/>
              </w:rPr>
              <w:t>istenilenleri belirler.</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b) Problemde verilenler ile istenilenlerin gerektirdiği işlemler arasındaki ilişkiyi belirler.</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c) Probleme ilişkin verilenleri belirleyerek uygun matematiksel temsillere dönüştürür.</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ç) Matematiksel temsillere dönüştürdüğü problemi k</w:t>
            </w:r>
            <w:r w:rsidRPr="00BE0CFF">
              <w:rPr>
                <w:rFonts w:ascii="Tahoma" w:hAnsi="Tahoma" w:cs="Tahoma"/>
                <w:sz w:val="18"/>
                <w:szCs w:val="18"/>
                <w14:ligatures w14:val="standardContextual"/>
              </w:rPr>
              <w:t>endi ifadeleri ile açıklar.</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d) Problemlerin sonucuna ilişkin tahminde bulunarak işlemleri gerçekleştirmek için stratejiler geliştirir.</w:t>
            </w:r>
            <w:r w:rsidR="00BE0CFF">
              <w:rPr>
                <w:rFonts w:ascii="Tahoma" w:hAnsi="Tahoma" w:cs="Tahoma"/>
                <w:sz w:val="18"/>
                <w:szCs w:val="18"/>
                <w14:ligatures w14:val="standardContextual"/>
              </w:rPr>
              <w:t xml:space="preserve"> </w:t>
            </w:r>
            <w:r w:rsidRPr="00BE0CFF">
              <w:rPr>
                <w:rFonts w:ascii="Tahoma" w:hAnsi="Tahoma" w:cs="Tahoma"/>
                <w:sz w:val="18"/>
                <w:szCs w:val="18"/>
                <w14:ligatures w14:val="standardContextual"/>
              </w:rPr>
              <w:t>e) Belirlenen strateji ya da stratejileri çözüm için uygular.</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f) Çözüm yollarını kontrol ederek çözüme ulaştırmayan strat</w:t>
            </w:r>
            <w:r w:rsidRPr="00BE0CFF">
              <w:rPr>
                <w:rFonts w:ascii="Tahoma" w:hAnsi="Tahoma" w:cs="Tahoma"/>
                <w:sz w:val="18"/>
                <w:szCs w:val="18"/>
                <w14:ligatures w14:val="standardContextual"/>
              </w:rPr>
              <w:t>ejiyi değiştirir.</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g) Problemin çözümü için kullandığı veya geliştirdiği stratejileri gözden geçirerek kısa yolları değerlendirir.</w:t>
            </w:r>
            <w:r w:rsidR="00BE0CFF">
              <w:rPr>
                <w:rFonts w:ascii="Tahoma" w:hAnsi="Tahoma" w:cs="Tahoma"/>
                <w:sz w:val="18"/>
                <w:szCs w:val="18"/>
                <w14:ligatures w14:val="standardContextual"/>
              </w:rPr>
              <w:t xml:space="preserve"> </w:t>
            </w:r>
            <w:r w:rsidRPr="00BE0CFF">
              <w:rPr>
                <w:rFonts w:ascii="Tahoma" w:hAnsi="Tahoma" w:cs="Tahoma"/>
                <w:sz w:val="18"/>
                <w:szCs w:val="18"/>
                <w14:ligatures w14:val="standardContextual"/>
              </w:rPr>
              <w:t>ğ ) Çözüme ulaştıran stratejinin/stratejilerin hangi problemlere uygulanabileceğini geneller.</w:t>
            </w:r>
            <w:r w:rsidR="00BE0CFF">
              <w:rPr>
                <w:rFonts w:ascii="Tahoma" w:hAnsi="Tahoma" w:cs="Tahoma"/>
                <w:sz w:val="18"/>
                <w:szCs w:val="18"/>
                <w14:ligatures w14:val="standardContextual"/>
              </w:rPr>
              <w:t xml:space="preserve"> </w:t>
            </w:r>
            <w:r w:rsidRPr="00BE0CFF">
              <w:rPr>
                <w:rFonts w:ascii="Tahoma" w:hAnsi="Tahoma" w:cs="Tahoma"/>
                <w:sz w:val="18"/>
                <w:szCs w:val="18"/>
                <w14:ligatures w14:val="standardContextual"/>
              </w:rPr>
              <w:t>h ) Genellemenin geçerliliğini m</w:t>
            </w:r>
            <w:r w:rsidRPr="00BE0CFF">
              <w:rPr>
                <w:rFonts w:ascii="Tahoma" w:hAnsi="Tahoma" w:cs="Tahoma"/>
                <w:sz w:val="18"/>
                <w:szCs w:val="18"/>
                <w14:ligatures w14:val="standardContextual"/>
              </w:rPr>
              <w:t>atematiksel örneklerle değerlendirir.</w:t>
            </w:r>
          </w:p>
        </w:tc>
      </w:tr>
      <w:tr w:rsidR="000B0AF5" w:rsidTr="00BE0CFF">
        <w:trPr>
          <w:jc w:val="center"/>
        </w:trPr>
        <w:tc>
          <w:tcPr>
            <w:tcW w:w="2547" w:type="dxa"/>
            <w:vAlign w:val="center"/>
          </w:tcPr>
          <w:p w:rsidR="007A6FA1" w:rsidRPr="00BE0CFF" w:rsidRDefault="00B84081" w:rsidP="00BE0CFF">
            <w:pPr>
              <w:pStyle w:val="AralkYok"/>
              <w:rPr>
                <w:sz w:val="18"/>
                <w:szCs w:val="18"/>
              </w:rPr>
            </w:pPr>
            <w:r w:rsidRPr="00BE0CFF">
              <w:rPr>
                <w:rFonts w:ascii="Tahoma" w:hAnsi="Tahoma" w:cs="Tahoma"/>
                <w:b/>
                <w:sz w:val="18"/>
                <w:szCs w:val="18"/>
                <w14:ligatures w14:val="standardContextual"/>
              </w:rPr>
              <w:t>EĞİTİM ARAÇ-GEREÇLERİ</w:t>
            </w:r>
          </w:p>
        </w:tc>
        <w:tc>
          <w:tcPr>
            <w:tcW w:w="8084" w:type="dxa"/>
            <w:vAlign w:val="center"/>
          </w:tcPr>
          <w:p w:rsidR="007A6FA1" w:rsidRPr="00BE0CFF" w:rsidRDefault="00B84081" w:rsidP="00BE0CFF">
            <w:pPr>
              <w:pStyle w:val="AralkYok"/>
              <w:rPr>
                <w:sz w:val="18"/>
                <w:szCs w:val="18"/>
              </w:rPr>
            </w:pPr>
            <w:r w:rsidRPr="00BE0CFF">
              <w:rPr>
                <w:rFonts w:ascii="Tahoma" w:hAnsi="Tahoma" w:cs="Tahoma"/>
                <w:sz w:val="18"/>
                <w:szCs w:val="18"/>
              </w:rPr>
              <w:t>Matematik ders kitabı, web2 uygulamaları, çalışma kağıtları, sayı kartları, sayı blokları, farklı sayma nesneleri</w:t>
            </w:r>
            <w:r w:rsidR="00BE0CFF" w:rsidRPr="00BE0CFF">
              <w:rPr>
                <w:rFonts w:ascii="Tahoma" w:hAnsi="Tahoma" w:cs="Tahoma"/>
                <w:sz w:val="18"/>
                <w:szCs w:val="18"/>
              </w:rPr>
              <w:t>, abaküs</w:t>
            </w:r>
          </w:p>
        </w:tc>
      </w:tr>
      <w:tr w:rsidR="000B0AF5" w:rsidTr="00BE0CFF">
        <w:trPr>
          <w:jc w:val="center"/>
        </w:trPr>
        <w:tc>
          <w:tcPr>
            <w:tcW w:w="2547" w:type="dxa"/>
            <w:vAlign w:val="center"/>
          </w:tcPr>
          <w:p w:rsidR="007A6FA1" w:rsidRPr="00BE0CFF" w:rsidRDefault="00B84081" w:rsidP="00BE0CFF">
            <w:pPr>
              <w:pStyle w:val="AralkYok"/>
              <w:rPr>
                <w:sz w:val="18"/>
                <w:szCs w:val="18"/>
              </w:rPr>
            </w:pPr>
            <w:r w:rsidRPr="00BE0CFF">
              <w:rPr>
                <w:rFonts w:ascii="Tahoma" w:hAnsi="Tahoma" w:cs="Tahoma"/>
                <w:b/>
                <w:sz w:val="18"/>
                <w:szCs w:val="18"/>
                <w14:ligatures w14:val="standardContextual"/>
              </w:rPr>
              <w:t>YÖNTEM - TEKNİKLER</w:t>
            </w:r>
          </w:p>
        </w:tc>
        <w:tc>
          <w:tcPr>
            <w:tcW w:w="8084" w:type="dxa"/>
            <w:vAlign w:val="center"/>
          </w:tcPr>
          <w:p w:rsidR="007A6FA1" w:rsidRPr="00BE0CFF" w:rsidRDefault="00B84081" w:rsidP="00BE0CFF">
            <w:pPr>
              <w:pStyle w:val="AralkYok"/>
              <w:rPr>
                <w:sz w:val="18"/>
                <w:szCs w:val="18"/>
              </w:rPr>
            </w:pPr>
            <w:r w:rsidRPr="00BE0CFF">
              <w:rPr>
                <w:rFonts w:ascii="Tahoma" w:hAnsi="Tahoma" w:cs="Tahoma"/>
                <w:sz w:val="18"/>
                <w:szCs w:val="18"/>
              </w:rPr>
              <w:t>1.Anlatım 2.Tümevarım 3. Tümdengelim 4. Grup tartışma</w:t>
            </w:r>
            <w:r w:rsidRPr="00BE0CFF">
              <w:rPr>
                <w:rFonts w:ascii="Tahoma" w:hAnsi="Tahoma" w:cs="Tahoma"/>
                <w:sz w:val="18"/>
                <w:szCs w:val="18"/>
              </w:rPr>
              <w:t>sı 5. Gezi gözlem 6. Gösteri 7. Soru yanıt 8. Örnek olay  9. Beyin fırtınası 10. Canlandırma 11. Grup çalışmaları 12. Oyunlar 13. Rol yapma 14. Canlandırma</w:t>
            </w:r>
          </w:p>
        </w:tc>
      </w:tr>
      <w:tr w:rsidR="000B0AF5" w:rsidTr="00BE0CFF">
        <w:trPr>
          <w:jc w:val="center"/>
        </w:trPr>
        <w:tc>
          <w:tcPr>
            <w:tcW w:w="2547" w:type="dxa"/>
            <w:vAlign w:val="center"/>
          </w:tcPr>
          <w:p w:rsidR="007A6FA1" w:rsidRPr="00BE0CFF" w:rsidRDefault="00B84081" w:rsidP="00BE0CFF">
            <w:pPr>
              <w:pStyle w:val="AralkYok"/>
              <w:rPr>
                <w:sz w:val="18"/>
                <w:szCs w:val="18"/>
              </w:rPr>
            </w:pPr>
            <w:r w:rsidRPr="00BE0CFF">
              <w:rPr>
                <w:rFonts w:ascii="Tahoma" w:hAnsi="Tahoma" w:cs="Tahoma"/>
                <w:b/>
                <w:sz w:val="18"/>
                <w:szCs w:val="18"/>
                <w14:ligatures w14:val="standardContextual"/>
              </w:rPr>
              <w:t>Anahtar Kavramlar ve Semboller</w:t>
            </w:r>
          </w:p>
        </w:tc>
        <w:tc>
          <w:tcPr>
            <w:tcW w:w="8084" w:type="dxa"/>
            <w:vAlign w:val="center"/>
          </w:tcPr>
          <w:p w:rsidR="007A6FA1" w:rsidRPr="00BE0CFF" w:rsidRDefault="00B84081" w:rsidP="00BE0CFF">
            <w:pPr>
              <w:pStyle w:val="AralkYok"/>
              <w:rPr>
                <w:sz w:val="18"/>
                <w:szCs w:val="18"/>
              </w:rPr>
            </w:pPr>
            <w:r w:rsidRPr="00BE0CFF">
              <w:rPr>
                <w:rFonts w:ascii="Tahoma" w:hAnsi="Tahoma" w:cs="Tahoma"/>
                <w:sz w:val="18"/>
                <w:szCs w:val="18"/>
                <w14:ligatures w14:val="standardContextual"/>
              </w:rPr>
              <w:t xml:space="preserve">eldeli toplama, tekrarlı toplama, çarpma, çarpan, çarpım, ardışık </w:t>
            </w:r>
            <w:r w:rsidRPr="00BE0CFF">
              <w:rPr>
                <w:rFonts w:ascii="Tahoma" w:hAnsi="Tahoma" w:cs="Tahoma"/>
                <w:sz w:val="18"/>
                <w:szCs w:val="18"/>
                <w14:ligatures w14:val="standardContextual"/>
              </w:rPr>
              <w:t>çıkarma,</w:t>
            </w:r>
            <w:r>
              <w:rPr>
                <w:rFonts w:ascii="Tahoma" w:hAnsi="Tahoma" w:cs="Tahoma"/>
                <w:sz w:val="18"/>
                <w:szCs w:val="18"/>
                <w14:ligatures w14:val="standardContextual"/>
              </w:rPr>
              <w:t xml:space="preserve"> </w:t>
            </w:r>
            <w:r w:rsidRPr="00BE0CFF">
              <w:rPr>
                <w:rFonts w:ascii="Tahoma" w:hAnsi="Tahoma" w:cs="Tahoma"/>
                <w:sz w:val="18"/>
                <w:szCs w:val="18"/>
                <w14:ligatures w14:val="standardContextual"/>
              </w:rPr>
              <w:t>bölme, bölünen, bölen, bölüm, kalan, gruplandırma, eşit paylaştırma</w:t>
            </w:r>
          </w:p>
        </w:tc>
      </w:tr>
      <w:tr w:rsidR="000B0AF5" w:rsidTr="00BE0CFF">
        <w:trPr>
          <w:jc w:val="center"/>
        </w:trPr>
        <w:tc>
          <w:tcPr>
            <w:tcW w:w="2547" w:type="dxa"/>
            <w:vAlign w:val="center"/>
          </w:tcPr>
          <w:p w:rsidR="007A6FA1" w:rsidRPr="00BE0CFF" w:rsidRDefault="00B84081"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ÖĞRENME KANITLARI</w:t>
            </w:r>
          </w:p>
          <w:p w:rsidR="007A6FA1" w:rsidRPr="00BE0CFF" w:rsidRDefault="00B84081"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(Ölçme ve Değerlendirme)</w:t>
            </w:r>
          </w:p>
        </w:tc>
        <w:tc>
          <w:tcPr>
            <w:tcW w:w="8084" w:type="dxa"/>
            <w:vAlign w:val="center"/>
          </w:tcPr>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Öğrenme-öğretme uygulamaları neticesinde ulaşılmak istenen öğrenme çıktıları; gözlem</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formları, performans görevi, kontrol listeleri, eş</w:t>
            </w:r>
            <w:r w:rsidRPr="00BE0CFF">
              <w:rPr>
                <w:rFonts w:ascii="Tahoma" w:hAnsi="Tahoma" w:cs="Tahoma"/>
                <w:sz w:val="18"/>
                <w:szCs w:val="18"/>
                <w14:ligatures w14:val="standardContextual"/>
              </w:rPr>
              <w:t>leştirme sorularından ve izleme testleri</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kullanılarak değerlendirilebilir. Toplama ve çıkarma işlemlerini gerektiren günlük yaşam problemlerini çözümleri ile birlikte oluşturabilecekleri performans görevi verilebilir. Performans görevinin değerlendirilmesi</w:t>
            </w:r>
            <w:r w:rsidRPr="00BE0CFF">
              <w:rPr>
                <w:rFonts w:ascii="Tahoma" w:hAnsi="Tahoma" w:cs="Tahoma"/>
                <w:sz w:val="18"/>
                <w:szCs w:val="18"/>
                <w14:ligatures w14:val="standardContextual"/>
              </w:rPr>
              <w:t xml:space="preserve"> bütüncül dereceli puanlama anahtarı ile yapılabilir.</w:t>
            </w:r>
          </w:p>
        </w:tc>
      </w:tr>
      <w:tr w:rsidR="000B0AF5" w:rsidTr="00BE0CFF">
        <w:trPr>
          <w:jc w:val="center"/>
        </w:trPr>
        <w:tc>
          <w:tcPr>
            <w:tcW w:w="2547" w:type="dxa"/>
            <w:vAlign w:val="center"/>
          </w:tcPr>
          <w:p w:rsidR="007A6FA1" w:rsidRPr="00BE0CFF" w:rsidRDefault="00B84081"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Öğretme-Öğrenme</w:t>
            </w:r>
          </w:p>
          <w:p w:rsidR="007A6FA1" w:rsidRPr="00BE0CFF" w:rsidRDefault="00B84081"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Uygulamalar</w:t>
            </w:r>
          </w:p>
        </w:tc>
        <w:tc>
          <w:tcPr>
            <w:tcW w:w="8084" w:type="dxa"/>
            <w:vAlign w:val="center"/>
          </w:tcPr>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b/>
                <w:sz w:val="18"/>
                <w:szCs w:val="18"/>
                <w14:ligatures w14:val="standardContextual"/>
              </w:rPr>
              <w:t>MAT.2.2.1. Toplama ve çıkarma işlemleri gerektiren günlük yaşam problemlerini çözebilme</w:t>
            </w:r>
            <w:r w:rsidR="00BE0CFF" w:rsidRPr="00BE0CFF">
              <w:rPr>
                <w:rFonts w:ascii="Tahoma" w:hAnsi="Tahoma" w:cs="Tahoma"/>
                <w:b/>
                <w:sz w:val="18"/>
                <w:szCs w:val="18"/>
                <w14:ligatures w14:val="standardContextual"/>
              </w:rPr>
              <w:t xml:space="preserve"> (5</w:t>
            </w:r>
            <w:r w:rsidRPr="00BE0CFF">
              <w:rPr>
                <w:rFonts w:ascii="Tahoma" w:hAnsi="Tahoma" w:cs="Tahoma"/>
                <w:b/>
                <w:sz w:val="18"/>
                <w:szCs w:val="18"/>
                <w14:ligatures w14:val="standardContextual"/>
              </w:rPr>
              <w:t xml:space="preserve"> saat)</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Günlük yaşam problemlerinden yola çıkılarak (En çok iki işlemli probleml</w:t>
            </w:r>
            <w:r w:rsidRPr="00BE0CFF">
              <w:rPr>
                <w:rFonts w:ascii="Tahoma" w:hAnsi="Tahoma" w:cs="Tahoma"/>
                <w:sz w:val="18"/>
                <w:szCs w:val="18"/>
                <w14:ligatures w14:val="standardContextual"/>
              </w:rPr>
              <w:t>erle çalışılır.) öğrencilerin problemde verilen ve istenenleri anlamalarına yönelik çalışmalar yapılır. Bu süreçte paralar, zaman, uzunluk, tartma gibi öğrencilerin günlük yaşam durumlarında karşılaşabileceği durumlara ilişkin toplama ve çıkarma işlemi ger</w:t>
            </w:r>
            <w:r w:rsidRPr="00BE0CFF">
              <w:rPr>
                <w:rFonts w:ascii="Tahoma" w:hAnsi="Tahoma" w:cs="Tahoma"/>
                <w:sz w:val="18"/>
                <w:szCs w:val="18"/>
                <w14:ligatures w14:val="standardContextual"/>
              </w:rPr>
              <w:t>ektiren problemler ele alınır.</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Problemde verilenler ile istenilenlerin gerektirdiği işlemler arasındaki ilişkiyi belirlemeye</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yönelik çalışmalar yapılır. Öğrencilere problemi çözmek amacıyla kendi stratejilerini geliştirmeleri için fırsat verilir (SDB3.</w:t>
            </w:r>
            <w:r w:rsidRPr="00BE0CFF">
              <w:rPr>
                <w:rFonts w:ascii="Tahoma" w:hAnsi="Tahoma" w:cs="Tahoma"/>
                <w:sz w:val="18"/>
                <w:szCs w:val="18"/>
                <w14:ligatures w14:val="standardContextual"/>
              </w:rPr>
              <w:t xml:space="preserve">2, E3.3). Öğrencilerin geliştirdikleri stratejileri matematiksel temsillere dönüştürmeleri sağlanır. Matematiksel temsillere dönüştürdüğü problemi kendi ifadeleri ile yeniden açıklamalarına imkân verilir. </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Problemlerin çözümü için kullanacağı işlemleri</w:t>
            </w:r>
            <w:r w:rsidRPr="00BE0CFF">
              <w:rPr>
                <w:rFonts w:ascii="Tahoma" w:hAnsi="Tahoma" w:cs="Tahoma"/>
                <w:sz w:val="18"/>
                <w:szCs w:val="18"/>
                <w14:ligatures w14:val="standardContextual"/>
              </w:rPr>
              <w:t xml:space="preserve"> zihinlerinde tasarlayarak tahminde bulunmaları sağlanır. İşlem yaparak stratejilerini çözüm için uygular (SDB3.1). </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Onlar ve birler basamakları vurgulanarak toplama işlemi yaparken birler basamağından başlanacağı ve eldeli işlemlere dikkat edilmesi ge</w:t>
            </w:r>
            <w:r w:rsidRPr="00BE0CFF">
              <w:rPr>
                <w:rFonts w:ascii="Tahoma" w:hAnsi="Tahoma" w:cs="Tahoma"/>
                <w:sz w:val="18"/>
                <w:szCs w:val="18"/>
                <w14:ligatures w14:val="standardContextual"/>
              </w:rPr>
              <w:t xml:space="preserve">rektiğinin anlaşılması sağlanır. Bu süreçte toplamları 100’ü geçmemek koşuluyla iki ve üç sayı ile toplama işlemleri yapılır. </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Çıkarma işleminin eksilen ve çıkan ögeleri arasında büyüklük küçüklük, onluk bozma gerektiren durum gibi ilişkileri öğrencile</w:t>
            </w:r>
            <w:r w:rsidRPr="00BE0CFF">
              <w:rPr>
                <w:rFonts w:ascii="Tahoma" w:hAnsi="Tahoma" w:cs="Tahoma"/>
                <w:sz w:val="18"/>
                <w:szCs w:val="18"/>
                <w14:ligatures w14:val="standardContextual"/>
              </w:rPr>
              <w:t>rin modellemeler yolu ile belirlemesi sağlanır. Ayrıca süreçte yapılan çıkarma işlemlerinde 100’e kadar (100 dâhil) olan bir çokluktan belirtilen sayı kadarının eksiltilmesi istenir. Öğrencilerin buldukları sonucu kontrol ederek çözüme ulaştırılamayan stra</w:t>
            </w:r>
            <w:r w:rsidRPr="00BE0CFF">
              <w:rPr>
                <w:rFonts w:ascii="Tahoma" w:hAnsi="Tahoma" w:cs="Tahoma"/>
                <w:sz w:val="18"/>
                <w:szCs w:val="18"/>
                <w14:ligatures w14:val="standardContextual"/>
              </w:rPr>
              <w:t xml:space="preserve">tejileri değiştirmeleri sağlanır. </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 xml:space="preserve">Çözüme ulaştıran stratejilerin hangi problemlere uygulanabileceği genellemesi ve genellemenin geçerliliğini matematiksel örneklerle değerlendirmesi sağlanır. Örneklerde deste ve düzinenin kullanılmasına da yer verilir. </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Öğrencilerin problem çözme sürecinde</w:t>
            </w:r>
            <w:r w:rsidRPr="00BE0CFF">
              <w:rPr>
                <w:rFonts w:ascii="Tahoma" w:hAnsi="Tahoma" w:cs="Tahoma"/>
                <w:sz w:val="18"/>
                <w:szCs w:val="18"/>
                <w14:ligatures w14:val="standardContextual"/>
              </w:rPr>
              <w:t xml:space="preserve">ki öğrenme kanıtları izleme testleri yardımıyla belirlenebilir. İfade edilen testler aracılığıyla öğrencilerin problem çözme sürecinde yaşadığı güçlükler ve problem çözme adımlarındaki eksik yönleri ortaya çıkarılır. </w:t>
            </w:r>
          </w:p>
          <w:p w:rsidR="007A6FA1" w:rsidRPr="00BE0CFF" w:rsidRDefault="00B84081"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Toplama ve çıkarma işlemlerini ger</w:t>
            </w:r>
            <w:r w:rsidRPr="00BE0CFF">
              <w:rPr>
                <w:rFonts w:ascii="Tahoma" w:hAnsi="Tahoma" w:cs="Tahoma"/>
                <w:sz w:val="18"/>
                <w:szCs w:val="18"/>
                <w14:ligatures w14:val="standardContextual"/>
              </w:rPr>
              <w:t>ektiren günlük yaşam problemlerini çözümleri ile birlikte oluşturabilecekleri performans görevi verilebilir. Performans görevinin değerlendirilmesi bütüncül dereceli puanlama anahtarı ile yapılabilir.</w:t>
            </w:r>
          </w:p>
        </w:tc>
      </w:tr>
      <w:tr w:rsidR="00B84081" w:rsidTr="00D85598">
        <w:trPr>
          <w:jc w:val="center"/>
        </w:trPr>
        <w:tc>
          <w:tcPr>
            <w:tcW w:w="2547" w:type="dxa"/>
            <w:vMerge w:val="restart"/>
            <w:vAlign w:val="center"/>
          </w:tcPr>
          <w:p w:rsidR="00B84081" w:rsidRPr="00BE0CFF" w:rsidRDefault="00B84081" w:rsidP="00D85598">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FARKLILAŞTIRMA</w:t>
            </w:r>
          </w:p>
        </w:tc>
        <w:tc>
          <w:tcPr>
            <w:tcW w:w="8084" w:type="dxa"/>
            <w:vAlign w:val="center"/>
          </w:tcPr>
          <w:p w:rsidR="00B84081" w:rsidRPr="00BE0CFF" w:rsidRDefault="00B84081" w:rsidP="00D85598">
            <w:pPr>
              <w:pStyle w:val="AralkYok"/>
              <w:rPr>
                <w:rFonts w:ascii="Tahoma" w:hAnsi="Tahoma" w:cs="Tahoma"/>
                <w:color w:val="FF0000"/>
                <w:sz w:val="18"/>
                <w:szCs w:val="18"/>
                <w14:ligatures w14:val="standardContextual"/>
              </w:rPr>
            </w:pPr>
            <w:r w:rsidRPr="00BE0CFF">
              <w:rPr>
                <w:rFonts w:ascii="Tahoma" w:hAnsi="Tahoma" w:cs="Tahoma"/>
                <w:b/>
                <w:sz w:val="18"/>
                <w:szCs w:val="18"/>
                <w14:ligatures w14:val="standardContextual"/>
              </w:rPr>
              <w:t xml:space="preserve">ZENGİNLEŞTİRME </w:t>
            </w:r>
            <w:r w:rsidRPr="00BE0CFF">
              <w:rPr>
                <w:rFonts w:ascii="Tahoma" w:hAnsi="Tahoma" w:cs="Tahoma"/>
                <w:sz w:val="18"/>
                <w:szCs w:val="18"/>
                <w14:ligatures w14:val="standardContextual"/>
              </w:rPr>
              <w:t xml:space="preserve">Öğrencilerden gerçek yaşam durumlarını içeren problemleri ,dört işlem ile ilişkilendirerek yeniden ifade edebilmeleri beklenir. </w:t>
            </w:r>
          </w:p>
        </w:tc>
      </w:tr>
      <w:tr w:rsidR="00B84081" w:rsidTr="00D85598">
        <w:trPr>
          <w:jc w:val="center"/>
        </w:trPr>
        <w:tc>
          <w:tcPr>
            <w:tcW w:w="2547" w:type="dxa"/>
            <w:vMerge/>
            <w:vAlign w:val="center"/>
          </w:tcPr>
          <w:p w:rsidR="00B84081" w:rsidRPr="00BE0CFF" w:rsidRDefault="00B84081" w:rsidP="00D85598">
            <w:pPr>
              <w:pStyle w:val="AralkYok"/>
              <w:rPr>
                <w:rFonts w:ascii="Tahoma" w:hAnsi="Tahoma" w:cs="Tahoma"/>
                <w:b/>
                <w:sz w:val="18"/>
                <w:szCs w:val="18"/>
                <w14:ligatures w14:val="standardContextual"/>
              </w:rPr>
            </w:pPr>
          </w:p>
        </w:tc>
        <w:tc>
          <w:tcPr>
            <w:tcW w:w="8084" w:type="dxa"/>
            <w:vAlign w:val="center"/>
          </w:tcPr>
          <w:p w:rsidR="00B84081" w:rsidRPr="00BE0CFF" w:rsidRDefault="00B84081" w:rsidP="00D85598">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DESTEKLEME</w:t>
            </w:r>
            <w:r w:rsidRPr="00BE0CFF">
              <w:rPr>
                <w:rFonts w:ascii="Tahoma" w:hAnsi="Tahoma" w:cs="Tahoma"/>
                <w:sz w:val="18"/>
                <w:szCs w:val="18"/>
                <w14:ligatures w14:val="standardContextual"/>
              </w:rPr>
              <w:t xml:space="preserve">  Öğrencinin dört işlem ile ilgili öğrenme-öğretme uygulamalarındaki performanslarını artırmak amacıyla görsellerle modelleme yapılır. </w:t>
            </w:r>
          </w:p>
        </w:tc>
      </w:tr>
    </w:tbl>
    <w:p w:rsidR="000B0AF5" w:rsidRDefault="000B0AF5">
      <w:pPr>
        <w:spacing w:after="0"/>
        <w:rPr>
          <w:sz w:val="0"/>
          <w:szCs w:val="0"/>
        </w:rPr>
      </w:pPr>
      <w:bookmarkStart w:id="0" w:name="_GoBack"/>
      <w:bookmarkEnd w:id="0"/>
    </w:p>
    <w:sectPr w:rsidR="000B0AF5" w:rsidSect="000D43CA">
      <w:pgSz w:w="11906" w:h="16838"/>
      <w:pgMar w:top="426" w:right="284" w:bottom="567" w:left="284" w:header="284" w:footer="340" w:gutter="0"/>
      <w:pgNumType w:start="1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A3F80EE2">
      <w:start w:val="1"/>
      <w:numFmt w:val="decimal"/>
      <w:lvlText w:val=""/>
      <w:lvlJc w:val="left"/>
    </w:lvl>
    <w:lvl w:ilvl="1" w:tplc="42FAD1AC">
      <w:numFmt w:val="decimal"/>
      <w:lvlText w:val=""/>
      <w:lvlJc w:val="left"/>
    </w:lvl>
    <w:lvl w:ilvl="2" w:tplc="2E3E7D5A">
      <w:numFmt w:val="decimal"/>
      <w:lvlText w:val=""/>
      <w:lvlJc w:val="left"/>
    </w:lvl>
    <w:lvl w:ilvl="3" w:tplc="702EF364">
      <w:numFmt w:val="decimal"/>
      <w:lvlText w:val=""/>
      <w:lvlJc w:val="left"/>
    </w:lvl>
    <w:lvl w:ilvl="4" w:tplc="CDC8EC76">
      <w:numFmt w:val="decimal"/>
      <w:lvlText w:val=""/>
      <w:lvlJc w:val="left"/>
    </w:lvl>
    <w:lvl w:ilvl="5" w:tplc="F6FE2C88">
      <w:numFmt w:val="decimal"/>
      <w:lvlText w:val=""/>
      <w:lvlJc w:val="left"/>
    </w:lvl>
    <w:lvl w:ilvl="6" w:tplc="CC5A504A">
      <w:numFmt w:val="decimal"/>
      <w:lvlText w:val=""/>
      <w:lvlJc w:val="left"/>
    </w:lvl>
    <w:lvl w:ilvl="7" w:tplc="9ECC721A">
      <w:numFmt w:val="decimal"/>
      <w:lvlText w:val=""/>
      <w:lvlJc w:val="left"/>
    </w:lvl>
    <w:lvl w:ilvl="8" w:tplc="AFD0724C">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0AF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4081"/>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081"/>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22D3D-ACA7-4D37-86A6-E01C52D38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764</Words>
  <Characters>4359</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2025-08-26T16:01:00Z</dcterms:modified>
  <cp:category>www.mustafakabul.com</cp:category>
</cp:coreProperties>
</file>